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19</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СГ.05 </w:t>
      </w:r>
      <w:r>
        <w:rPr/>
        <w:t xml:space="preserve">Основы финансовой грамотности»</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«Основы финансовой грамотности</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«Основы финансовой грамотности»: Особое значение дисциплина имеет при формировании и развитии ОК 01, ОК 02, ОК 03, ОК 04.. </w:t>
      </w:r>
    </w:p>
    <w:p>
      <w:pPr>
        <w:pStyle w:val="1e"/>
        <w:ind w:left="0" w:right="0" w:firstLine="709"/>
      </w:pPr>
      <w:r>
        <w:rPr/>
        <w:t xml:space="preserve">Дисциплина «Основы финансовой грамотности» включена в </w:t>
      </w:r>
      <w:r>
        <w:rPr/>
        <w:t xml:space="preserve"> </w:t>
      </w:r>
      <w:r>
        <w:rPr/>
        <w:t xml:space="preserve">обязательную часть цикла </w:t>
      </w:r>
      <w:r>
        <w:rPr/>
        <w:t xml:space="preserve">«</w:t>
      </w:r>
      <w:r>
        <w:rPr/>
        <w:t xml:space="preserve">социально-гуманитарный цикл</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ОК, ПК</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Уметь</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Знать</w:t>
            </w:r>
          </w:p>
        </w:tc>
      </w:tr>
      <w:tr>
        <w:trPr/>
        <w:tc>
          <w:tcPr>
            <w:tcW w:w="3175" w:type="dxa"/>
            <w:vAlign w:val="center"/>
            <w:noWrap/>
          </w:tcPr>
          <w:p>
            <w:pPr>
              <w:ind w:left="0" w:right="0" w:firstLine="0"/>
              <w:spacing w:before="0" w:after="0" w:line="276" w:lineRule="auto"/>
            </w:pPr>
            <w:r>
              <w:rPr/>
              <w:t xml:space="preserve">ОК 01</w:t>
            </w:r>
          </w:p>
        </w:tc>
        <w:tc>
          <w:tcPr>
            <w:tcW w:w="3175" w:type="dxa"/>
            <w:vAlign w:val="center"/>
            <w:noWrap/>
          </w:tcPr>
          <w:p>
            <w:pPr>
              <w:ind w:left="0" w:right="0" w:firstLine="0"/>
              <w:spacing w:before="0" w:after="0" w:line="276" w:lineRule="auto"/>
            </w:pPr>
            <w:r>
              <w:rPr/>
              <w:t xml:space="preserve">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w:t>
            </w:r>
          </w:p>
        </w:tc>
        <w:tc>
          <w:tcPr>
            <w:tcW w:w="3175" w:type="dxa"/>
            <w:vAlign w:val="center"/>
            <w:noWrap/>
          </w:tcPr>
          <w:p>
            <w:pPr>
              <w:ind w:left="0" w:right="0" w:firstLine="0"/>
              <w:spacing w:before="0" w:after="0" w:line="276" w:lineRule="auto"/>
            </w:pPr>
            <w:r>
              <w:rPr/>
              <w:t xml:space="preserve">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w:t>
            </w:r>
          </w:p>
        </w:tc>
      </w:tr>
      <w:tr>
        <w:trPr/>
        <w:tc>
          <w:tcPr>
            <w:tcW w:w="3175" w:type="dxa"/>
            <w:vAlign w:val="center"/>
            <w:noWrap/>
          </w:tcPr>
          <w:p>
            <w:pPr>
              <w:ind w:left="0" w:right="0" w:firstLine="0"/>
              <w:spacing w:before="0" w:after="0" w:line="276" w:lineRule="auto"/>
            </w:pPr>
            <w:r>
              <w:rPr/>
              <w:t xml:space="preserve">ОК 03</w:t>
            </w:r>
          </w:p>
        </w:tc>
        <w:tc>
          <w:tcPr>
            <w:tcW w:w="3175" w:type="dxa"/>
            <w:vAlign w:val="center"/>
            <w:noWrap/>
          </w:tcPr>
          <w:p>
            <w:pPr>
              <w:ind w:left="0" w:right="0" w:firstLine="0"/>
              <w:spacing w:before="0" w:after="0" w:line="276" w:lineRule="auto"/>
            </w:pPr>
            <w:r>
              <w:rPr/>
              <w:t xml:space="preserve">определять актуальность нормативно-правовой документации в профессиональной деятельности, определять и выстраивать траектории профессионального развития и самообразования, применять современную научную профессиональную терминологию, выявлять достоинства и недостатки коммерческой идеи, находить интересные проектные идеи, грамотно их формулировать и документировать, определять инвестиционную привлекательность коммерческих идей в рамках профессиональной деятельности, выявлять источники финансирования, определять источники достоверной правовой информации, оценивать жизнеспособность проектной идеи, составлять план проекта, презентовать идеи открытия собственного дела в профессиональной деятельности, составлять различные правовые документы</w:t>
            </w:r>
          </w:p>
        </w:tc>
        <w:tc>
          <w:tcPr>
            <w:tcW w:w="3175" w:type="dxa"/>
            <w:vAlign w:val="center"/>
            <w:noWrap/>
          </w:tcPr>
          <w:p>
            <w:pPr>
              <w:ind w:left="0" w:right="0" w:firstLine="0"/>
              <w:spacing w:before="0" w:after="0" w:line="276" w:lineRule="auto"/>
            </w:pPr>
            <w:r>
              <w:rPr/>
              <w:t xml:space="preserve">содержание актуальной нормативно-правовой документации, возможные траектории профессионального развития и самообразования, современная научная и профессиональная терминология, основные этапы разработки и реализации проекта, основы предпринимательской деятельности, правовой и финансовой грамотности, правила разработки презентации</w:t>
            </w:r>
          </w:p>
        </w:tc>
      </w:tr>
      <w:tr>
        <w:trPr/>
        <w:tc>
          <w:tcPr>
            <w:tcW w:w="3175" w:type="dxa"/>
            <w:vAlign w:val="center"/>
            <w:noWrap/>
          </w:tcPr>
          <w:p>
            <w:pPr>
              <w:ind w:left="0" w:right="0" w:firstLine="0"/>
              <w:spacing w:before="0" w:after="0" w:line="276" w:lineRule="auto"/>
            </w:pPr>
            <w:r>
              <w:rPr/>
              <w:t xml:space="preserve">ОК 04</w:t>
            </w:r>
          </w:p>
        </w:tc>
        <w:tc>
          <w:tcPr>
            <w:tcW w:w="3175" w:type="dxa"/>
            <w:vAlign w:val="center"/>
            <w:noWrap/>
          </w:tcPr>
          <w:p>
            <w:pPr>
              <w:ind w:left="0" w:right="0" w:firstLine="0"/>
              <w:spacing w:before="0" w:after="0" w:line="276" w:lineRule="auto"/>
            </w:pPr>
            <w:r>
              <w:rPr/>
              <w:t xml:space="preserve">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175" w:type="dxa"/>
            <w:vAlign w:val="center"/>
            <w:noWrap/>
          </w:tcPr>
          <w:p>
            <w:pPr>
              <w:ind w:left="0" w:right="0" w:firstLine="0"/>
              <w:spacing w:before="0" w:after="0" w:line="276" w:lineRule="auto"/>
            </w:pPr>
            <w:r>
              <w:rPr/>
              <w:t xml:space="preserve">психологические основы деятельности коллектива, психологические особенности личности</w:t>
            </w:r>
          </w:p>
        </w:tc>
      </w:tr>
      <w:tr>
        <w:trPr/>
        <w:tc>
          <w:tcPr>
            <w:tcW w:w="3175" w:type="dxa"/>
            <w:vAlign w:val="center"/>
            <w:noWrap/>
          </w:tcPr>
          <w:p>
            <w:pPr>
              <w:ind w:left="0" w:right="0" w:firstLine="0"/>
              <w:spacing w:before="0" w:after="0" w:line="276" w:lineRule="auto"/>
            </w:pPr>
            <w:r>
              <w:rPr/>
              <w:t xml:space="preserve">ОК 02</w:t>
            </w:r>
          </w:p>
        </w:tc>
        <w:tc>
          <w:tcPr>
            <w:tcW w:w="3175" w:type="dxa"/>
            <w:vAlign w:val="center"/>
            <w:noWrap/>
          </w:tcPr>
          <w:p>
            <w:pPr>
              <w:ind w:left="0" w:right="0" w:firstLine="0"/>
              <w:spacing w:before="0" w:after="0" w:line="276" w:lineRule="auto"/>
            </w:pPr>
            <w:r>
              <w:rPr/>
              <w:t xml:space="preserve">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w:t>
            </w:r>
          </w:p>
        </w:tc>
        <w:tc>
          <w:tcPr>
            <w:tcW w:w="3175" w:type="dxa"/>
            <w:vAlign w:val="center"/>
            <w:noWrap/>
          </w:tcPr>
          <w:p>
            <w:pPr>
              <w:ind w:left="0" w:right="0" w:firstLine="0"/>
              <w:spacing w:before="0" w:after="0" w:line="276" w:lineRule="auto"/>
            </w:pPr>
            <w:r>
              <w:rPr/>
              <w:t xml:space="preserve">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w:t>
            </w: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36</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20</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диф.зачет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8</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36</w:t>
            </w:r>
            <w:r>
              <w:rPr>
                <w:lang w:val="en-US"/>
                <w:b w:val="1"/>
                <w:bCs w:val="1"/>
              </w:rPr>
              <w:t xml:space="preserve"/>
            </w:r>
          </w:p>
        </w:tc>
        <w:tc>
          <w:tcPr>
            <w:tcW w:w="1162" w:type="dxa"/>
            <w:vAlign w:val="center"/>
            <w:noWrap/>
          </w:tcPr>
          <w:p>
            <w:pPr>
              <w:jc w:val="center"/>
            </w:pPr>
            <w:r>
              <w:rPr>
                <w:lang w:val="en-US"/>
                <w:b w:val="1"/>
                <w:bCs w:val="1"/>
              </w:rPr>
              <w:t xml:space="preserve">48</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Деньги и операции с ними (0ч)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 Деньги и платежи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Роль и функции денег. Виды современных денег, их основные характеристики. 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Платежные агенты. Платежные системы. Основные платежные инструменты: банковский счет, мобильный и интернет-банк, дебетовая, кредитная банковские карты, электронный кошелек. Риски при использовании различных платежных инструментов. Подтверждение расчетов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 Покупки и цены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рпрограммы лояльности покупателя, скидки, бонусы, кэшбек).      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1.3. Безопасное использование денег</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Правила возмещения средств, несанкционированно списанных со счета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Планирование и управление личными финансами (0ч)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12/8</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 Личный и семейный бюджет, финансовое планирование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Составление личного финансового плана и (или) семейного бюджета. Оценка его выполнения и оптимизации расходов.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2.2. Личные сбережения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Безопасное использование сберегательных инструментов. Выбор добросовестного поставщика финансовых услуг. Выбор банка и оценка доходности банковского вклада.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2.3. Кредиты и займы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Безопасное использование кредитных инструментов. Потенциальный выбор оптимальных условий заимствования.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2.4. Безопасное управление личными финансами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Возможности и ограничения льготных программ банков с учетом особенностей своей профессии, иных факторов (вклады и кредиты для молодежи, программистов, семей с детьми)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3. Риск и доходность (0ч)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12/6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3.1. Инвестирование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Стратегия инвестирования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3.2. Страхование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Страхование как способ обеспечения безопасности в профессиональной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3.3. Предпринимательство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Базовые финансовые показатели бизнеса: выручка, постоянные и переменные издержки, прибыль.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4. Финансовая среда (0ч)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 Финансовые взаимоотношения с государством</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Основные цифровые сервисы государства для граждан. Налоги и пенсионное обеспечение для самозанятых и ИП</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4.2. Защита прав граждан в финансовой сфере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Типичные ситуация нарушения прав граждан в финансовой сфере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(диф.зачет)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(36ч)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36/20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Социально-гуманитарных дисциплин, общепрофессиональных дисциплин</w:t>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Каджаева М.Р. Финансовая грамотность. Методические рекомендации: учеб. пособие для студ. учреждений сред. профессиональное образования / М.Р. Каджаева, Л.В. Дубровская, А.Р. Елисеева. – М. :  Издательский центр «Академия», 2020. –  96 с.</w:t>
      </w:r>
    </w:p>
    <w:p>
      <w:pPr>
        <w:ind w:left="0" w:right="0" w:firstLine="720"/>
      </w:pPr>
      <w:r>
        <w:rPr/>
        <w:t xml:space="preserve">	</w:t>
      </w:r>
      <w:r>
        <w:rPr>
          <w:rFonts w:ascii="Times New Roman" w:hAnsi="Times New Roman" w:eastAsia="Times New Roman" w:cs="Times New Roman"/>
          <w:sz w:val="24"/>
          <w:szCs w:val="24"/>
        </w:rPr>
        <w:t xml:space="preserve">2. Каджаева М.Р. Финансовая грамотность. Практикум: учеб. пособие для студ. учреждений сред. профессиональное образования / М.Р. Каджаева, Л.В. Дубровская, А.Р. Елисеева. – 2-е изд. стер. – М. :  Издательский центр «Академия», 2023. – 128 с.</w:t>
      </w:r>
    </w:p>
    <w:p>
      <w:pPr>
        <w:ind w:left="0" w:right="0" w:firstLine="720"/>
      </w:pPr>
      <w:r>
        <w:rPr/>
        <w:t xml:space="preserve">	</w:t>
      </w:r>
      <w:r>
        <w:rPr>
          <w:rFonts w:ascii="Times New Roman" w:hAnsi="Times New Roman" w:eastAsia="Times New Roman" w:cs="Times New Roman"/>
          <w:sz w:val="24"/>
          <w:szCs w:val="24"/>
        </w:rPr>
        <w:t xml:space="preserve">3. Каджаева М.Р. Финансовая грамотность: учеб. пособие для студ. учреждений сред. профессиональное образования / М.Р. Каджаева, Л.В. Дубровская, А.Р. Елисеева. – . – 4-е изд. стер. М.:  Издательский центр «Академия», 2023. – 288 с.</w:t>
      </w:r>
    </w:p>
    <w:p>
      <w:pPr>
        <w:ind w:left="0" w:right="0" w:firstLine="720"/>
      </w:pPr>
      <w:r>
        <w:rPr/>
        <w:t xml:space="preserve">	</w:t>
      </w:r>
      <w:r>
        <w:rPr>
          <w:rFonts w:ascii="Times New Roman" w:hAnsi="Times New Roman" w:eastAsia="Times New Roman" w:cs="Times New Roman"/>
          <w:sz w:val="24"/>
          <w:szCs w:val="24"/>
        </w:rPr>
        <w:t xml:space="preserve">4. Костюкова Е.И. Основы финансовой грамотности: учебник для СПО / Е. И. Костюкова, И. И. Глотова, Е. П. Томилина [и др.]. — 2-е изд., стер. — Санкт-Петербург: Лань, 2024. — 316 с. — ISBN 978-5-507-47451-6. — Текст: электронный // Лань: электронно-библиотечная система. — URL: https://e.lanbook.com/book/378458.</w:t>
      </w:r>
    </w:p>
    <w:p>
      <w:pPr>
        <w:ind w:left="0" w:right="0" w:firstLine="720"/>
      </w:pPr>
      <w:r>
        <w:rPr/>
        <w:t xml:space="preserve">	</w:t>
      </w:r>
      <w:r>
        <w:rPr>
          <w:rFonts w:ascii="Times New Roman" w:hAnsi="Times New Roman" w:eastAsia="Times New Roman" w:cs="Times New Roman"/>
          <w:sz w:val="24"/>
          <w:szCs w:val="24"/>
        </w:rPr>
        <w:t xml:space="preserve">5. Купцова Е.В. Бизнес-планирование: учебник и практикум для среднего профессионального образования/ Е. В. Купцова, А. А. Степанов. — Москва: Издательство Юрайт, 2021.— 435 с. — (Профессиональное образование). — ISBN 978-5-534-11053-1. — Текст: электронный // ЭБС Юрайт [сайт]. — URL: https://urait.ru/bcode/476085.</w:t>
      </w:r>
    </w:p>
    <w:p>
      <w:pPr>
        <w:ind w:left="0" w:right="0" w:firstLine="720"/>
      </w:pPr>
      <w:r>
        <w:rPr/>
        <w:t xml:space="preserve">	</w:t>
      </w:r>
      <w:r>
        <w:rPr>
          <w:rFonts w:ascii="Times New Roman" w:hAnsi="Times New Roman" w:eastAsia="Times New Roman" w:cs="Times New Roman"/>
          <w:sz w:val="24"/>
          <w:szCs w:val="24"/>
        </w:rPr>
        <w:t xml:space="preserve">6. Пушина, Н. В. Основы предпринимательства и финансовой грамотности. Практикум: учебное пособие для СПО / Н. В. Пушина, Г. А. Бандура. — 2-е изд., стер. — Санкт-Петербург: Лань, 2024. — 288 с. — ISBN 978-5-507-47563-6. — Текст: электронный// Лань: электронно-библиотечная система. — URL: https://e.lanbook.com/book/389003</w:t>
      </w:r>
    </w:p>
    <w:p>
      <w:pPr>
        <w:ind w:left="0" w:right="0" w:firstLine="720"/>
      </w:pPr>
      <w:r>
        <w:rPr/>
        <w:t xml:space="preserve">	</w:t>
      </w:r>
      <w:r>
        <w:rPr>
          <w:rFonts w:ascii="Times New Roman" w:hAnsi="Times New Roman" w:eastAsia="Times New Roman" w:cs="Times New Roman"/>
          <w:sz w:val="24"/>
          <w:szCs w:val="24"/>
        </w:rPr>
        <w:t xml:space="preserve">7. Фрицлер, А. В.  Основы финансовой грамотности: учебник для среднего профессионального образования / А. В. Фрицлер, Е. А. Тарханова. — 2-е изд., перераб. и доп. — Москва: Издательство Юрайт, 2023. — 148 с. — (Профессиональное образование). — ISBN 978-5-534-16794-8. — Текст : электронный // Образовательная платформа Юрайт [сайт]. — URL: https://urait.ru/bcode/531714</w:t>
      </w:r>
    </w:p>
    <w:p>
      <w:pPr>
        <w:ind w:left="0" w:right="0" w:firstLine="720"/>
      </w:pPr>
      <w:r>
        <w:rPr/>
        <w:t xml:space="preserve">	</w:t>
      </w:r>
      <w:r>
        <w:rPr>
          <w:rFonts w:ascii="Times New Roman" w:hAnsi="Times New Roman" w:eastAsia="Times New Roman" w:cs="Times New Roman"/>
          <w:sz w:val="24"/>
          <w:szCs w:val="24"/>
        </w:rPr>
        <w:t xml:space="preserve">8. Яцков, И. Б. Основы финансовой грамотности и предпринимательской деятельности / И. Б. Яцков, С. В. Афанасьева. — Санкт-Петербург: Лань, 2024. — 332 с. — ISBN 978-5-507-48129-3. — Текст: электронный // Лань: электронно-библиотечная система. — URL: https://e.lanbook.com/book/362738.</w:t>
      </w:r>
    </w:p>
    <w:p>
      <w:pPr>
        <w:rPr>
          <w:rStyle w:val="af4"/>
        </w:rPr>
      </w:pPr>
    </w:p>
    <w:p>
      <w:pPr>
        <w:pStyle w:val="af4"/>
      </w:pPr>
      <w:r>
        <w:rPr>
          <w:lang w:val="en-US"/>
        </w:rPr>
        <w:t xml:space="preserve"/>
      </w:r>
    </w:p>
    <w:p>
      <w:pPr>
        <w:pStyle w:val="1e"/>
      </w:pPr>
      <w:r>
        <w:rPr/>
        <w:t xml:space="preserve">3.2.2. Дополнительные источники </w:t>
      </w:r>
    </w:p>
    <w:p>
      <w:pPr>
        <w:pStyle w:val="4"/>
        <w:ind w:left="0" w:right="0" w:firstLine="709"/>
      </w:pPr>
      <w:r>
        <w:rPr/>
        <w:t xml:space="preserve"/>
      </w:r>
      <w:r>
        <w:rPr/>
        <w:t xml:space="preserve"/>
      </w:r>
    </w:p>
    <w:p>
      <w:pPr>
        <w:ind w:left="0" w:right="0" w:firstLine="720"/>
      </w:pPr>
      <w:r>
        <w:rPr/>
        <w:t xml:space="preserve">	</w:t>
      </w:r>
      <w:r>
        <w:rPr>
          <w:rFonts w:ascii="Times New Roman" w:hAnsi="Times New Roman" w:eastAsia="Times New Roman" w:cs="Times New Roman"/>
          <w:sz w:val="24"/>
          <w:szCs w:val="24"/>
        </w:rPr>
        <w:t xml:space="preserve">1. Каджаева М.Р. Финансовая грамотность. Методические рекомендации: учеб. пособие для студ. учреждений сред. профессиональное образования / М.Р. Каджаева, Л.В. Дубровская, А.Р. Елисеева. – М. :  Издательский центр «Академия», 2020. –  96 с.</w:t>
      </w:r>
    </w:p>
    <w:p>
      <w:pPr>
        <w:ind w:left="0" w:right="0" w:firstLine="720"/>
      </w:pPr>
      <w:r>
        <w:rPr/>
        <w:t xml:space="preserve">	</w:t>
      </w:r>
      <w:r>
        <w:rPr>
          <w:rFonts w:ascii="Times New Roman" w:hAnsi="Times New Roman" w:eastAsia="Times New Roman" w:cs="Times New Roman"/>
          <w:sz w:val="24"/>
          <w:szCs w:val="24"/>
        </w:rPr>
        <w:t xml:space="preserve">2. Каджаева М.Р. Финансовая грамотность. Практикум: учеб. пособие для студ. учреждений сред. профессиональное образования / М.Р. Каджаева, Л.В. Дубровская, А.Р. Елисеева. – 2-е изд. стер. – М. :  Издательский центр «Академия», 2023. – 128 с.</w:t>
      </w:r>
    </w:p>
    <w:p>
      <w:pPr>
        <w:ind w:left="0" w:right="0" w:firstLine="720"/>
      </w:pPr>
      <w:r>
        <w:rPr/>
        <w:t xml:space="preserve">	</w:t>
      </w:r>
      <w:r>
        <w:rPr>
          <w:rFonts w:ascii="Times New Roman" w:hAnsi="Times New Roman" w:eastAsia="Times New Roman" w:cs="Times New Roman"/>
          <w:sz w:val="24"/>
          <w:szCs w:val="24"/>
        </w:rPr>
        <w:t xml:space="preserve">3. Каджаева М.Р. Финансовая грамотность: учеб. пособие для студ. учреждений сред. профессиональное образования / М.Р. Каджаева, Л.В. Дубровская, А.Р. Елисеева. – . – 4-е изд. стер. М.:  Издательский центр «Академия», 2023. – 288 с.</w:t>
      </w:r>
    </w:p>
    <w:p>
      <w:pPr>
        <w:ind w:left="0" w:right="0" w:firstLine="720"/>
      </w:pPr>
      <w:r>
        <w:rPr/>
        <w:t xml:space="preserve">	</w:t>
      </w:r>
      <w:r>
        <w:rPr>
          <w:rFonts w:ascii="Times New Roman" w:hAnsi="Times New Roman" w:eastAsia="Times New Roman" w:cs="Times New Roman"/>
          <w:sz w:val="24"/>
          <w:szCs w:val="24"/>
        </w:rPr>
        <w:t xml:space="preserve">4. Костюкова Е.И. Основы финансовой грамотности: учебник для СПО / Е. И. Костюкова, И. И. Глотова, Е. П. Томилина [и др.]. — 2-е изд., стер. — Санкт-Петербург: Лань, 2024. — 316 с. — ISBN 978-5-507-47451-6. — Текст: электронный // Лань: электронно-библиотечная система. — URL: https://e.lanbook.com/book/378458.</w:t>
      </w:r>
    </w:p>
    <w:p>
      <w:pPr>
        <w:ind w:left="0" w:right="0" w:firstLine="720"/>
      </w:pPr>
      <w:r>
        <w:rPr/>
        <w:t xml:space="preserve">	</w:t>
      </w:r>
      <w:r>
        <w:rPr>
          <w:rFonts w:ascii="Times New Roman" w:hAnsi="Times New Roman" w:eastAsia="Times New Roman" w:cs="Times New Roman"/>
          <w:sz w:val="24"/>
          <w:szCs w:val="24"/>
        </w:rPr>
        <w:t xml:space="preserve">5. Купцова Е.В. Бизнес-планирование: учебник и практикум для среднего профессионального образования/ Е. В. Купцова, А. А. Степанов. — Москва: Издательство Юрайт, 2021.— 435 с. — (Профессиональное образование). — ISBN 978-5-534-11053-1. — Текст: электронный // ЭБС Юрайт [сайт]. — URL: https://urait.ru/bcode/476085.</w:t>
      </w:r>
    </w:p>
    <w:p>
      <w:pPr>
        <w:ind w:left="0" w:right="0" w:firstLine="720"/>
      </w:pPr>
      <w:r>
        <w:rPr/>
        <w:t xml:space="preserve">	</w:t>
      </w:r>
      <w:r>
        <w:rPr>
          <w:rFonts w:ascii="Times New Roman" w:hAnsi="Times New Roman" w:eastAsia="Times New Roman" w:cs="Times New Roman"/>
          <w:sz w:val="24"/>
          <w:szCs w:val="24"/>
        </w:rPr>
        <w:t xml:space="preserve">6. Пушина, Н. В. Основы предпринимательства и финансовой грамотности. Практикум: учебное пособие для СПО / Н. В. Пушина, Г. А. Бандура. — 2-е изд., стер. — Санкт-Петербург: Лань, 2024. — 288 с. — ISBN 978-5-507-47563-6. — Текст: электронный// Лань: электронно-библиотечная система. — URL: https://e.lanbook.com/book/389003</w:t>
      </w:r>
    </w:p>
    <w:p>
      <w:pPr>
        <w:ind w:left="0" w:right="0" w:firstLine="720"/>
      </w:pPr>
      <w:r>
        <w:rPr/>
        <w:t xml:space="preserve">	</w:t>
      </w:r>
      <w:r>
        <w:rPr>
          <w:rFonts w:ascii="Times New Roman" w:hAnsi="Times New Roman" w:eastAsia="Times New Roman" w:cs="Times New Roman"/>
          <w:sz w:val="24"/>
          <w:szCs w:val="24"/>
        </w:rPr>
        <w:t xml:space="preserve">7. Фрицлер, А. В.  Основы финансовой грамотности: учебник для среднего профессионального образования / А. В. Фрицлер, Е. А. Тарханова. — 2-е изд., перераб. и доп. — Москва: Издательство Юрайт, 2023. — 148 с. — (Профессиональное образование). — ISBN 978-5-534-16794-8. — Текст : электронный // Образовательная платформа Юрайт [сайт]. — URL: https://urait.ru/bcode/531714</w:t>
      </w:r>
    </w:p>
    <w:p>
      <w:pPr>
        <w:ind w:left="0" w:right="0" w:firstLine="720"/>
      </w:pPr>
      <w:r>
        <w:rPr/>
        <w:t xml:space="preserve">	</w:t>
      </w:r>
      <w:r>
        <w:rPr>
          <w:rFonts w:ascii="Times New Roman" w:hAnsi="Times New Roman" w:eastAsia="Times New Roman" w:cs="Times New Roman"/>
          <w:sz w:val="24"/>
          <w:szCs w:val="24"/>
        </w:rPr>
        <w:t xml:space="preserve">8. Яцков, И. Б. Основы финансовой грамотности и предпринимательской деятельности / И. Б. Яцков, С. В. Афанасьева. — Санкт-Петербург: Лань, 2024. — 332 с. — ISBN 978-5-507-48129-3. — Текст: электронный // Лань: электронно-библиотечная система. — URL: https://e.lanbook.com/book/362738.</w:t>
      </w:r>
    </w:p>
    <w:p>
      <w:pPr>
        <w:pStyle w:val="af4"/>
      </w:pPr>
      <w:r>
        <w:rPr/>
        <w:t xml:space="preserve"/>
      </w:r>
      <w:r>
        <w:rPr/>
        <w:t xml:space="preserve"/>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 содержание актуальной нормативно-правовой документации, возможные траектории профессионального развития и самообразования, современная научная и профессиональная терминология, основные этапы разработки и реализации проекта, основы предпринимательской деятельности, правовой и финансовой грамотности, правила разработки презентации, психологические основы деятельности коллектива, психологические особенности личности, 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
Умеет: 
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 определять актуальность нормативно-правовой документации в профессиональной деятельности, определять и выстраивать траектории профессионального развития и самообразования, применять современную научную профессиональную терминологию, выявлять достоинства и недостатки коммерческой идеи, находить интересные проектные идеи, грамотно их формулировать и документировать, определять инвестиционную привлекательность коммерческих идей в рамках профессиональной деятельности, выявлять источники финансирования, определять источники достоверной правовой информации, оценивать жизнеспособность проектной идеи, составлять план проекта, презентовать идеи открытия собственного дела в профессиональной деятельности, составлять различные правовые документы, организовывать работу коллектива и команды, взаимодействовать с коллегами, руководством, клиентами в ходе профессиональной деятельности, 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
</w:t>
            </w:r>
          </w:p>
        </w:tc>
        <w:tc>
          <w:tcPr>
            <w:tcW w:w="3175" w:type="dxa"/>
            <w:vAlign w:val="top"/>
            <w:noWrap/>
          </w:tcPr>
          <w:p>
            <w:pPr>
              <w:ind w:left="0" w:right="0" w:firstLine="0"/>
              <w:spacing w:before="0" w:after="0" w:line="276" w:lineRule="auto"/>
            </w:pPr>
            <w:r>
              <w:rPr/>
              <w:t xml:space="preserve">демонстрирует знания особенностей профессионального и социального контекста;  ориентируется в источниках информации и ресурсах для решения задач в профессиональном и социальном контексте; 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может объяснить, как пользоваться цифровыми средствами при решении профессиональных задач, задач личностного развития и финансового благополучия; демонстрирует знания о том, как представлять результаты поиска информации;  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
способен к презентации собственных бизнес-идей, в том числе различным категориям заинтересованных лиц;  ориентируется в нормативно-правовой базе, регламентирующей профессиональную деятельность, предпринимательство и личное финансовое планирование;  способен определить наиболее подходящие способы оплаты товаров и услуг в конкретных ситуациях; демонстрирует понимание влияния инфляции на решение финансовых задач в профессии, личном планировании; демонстрирует понимание валютных курсов и порядка проведения расчетов по обмену одной валюты на другую; демонстрирует понимание правил составления личного и семейного бюджета; 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
демонстрирует представление  о направлених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 способен охарактеризовать особенности работы в малых и больших группах, работы в команде, организации коллективной работы; демонстрирует представление о принципах организации проектной деятельности
определяет задачу в профессиональном и/или социальном контексте;  осуществляет поиск и отбор информации, необходимой для решения задачи; осуществляет планирование действий для решения задачи; определяет ресурсы для решения задачи; выполняет составленный план; определяет задачи для сбора информации;  планирует процесс поиска информации и осуществлять выбор необходимых источников; 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 демонстрирует умение пользоваться цифровыми средствами при решении профессиональных задач, задач личностного развития и финансового благополучия; 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выполняет задания по выбору и использованию различных платежных инструментов в конкретной ситуации с учетом правил финансовой безопасности; учитывает инфляцию при решении финансовых задач в профессии, личном планировании; производит расчеты по валютно-обменным операциям; планирует личные доходы и расходы, принимать финансовые решения, составляет личный бюджет; 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анализирует бизнес-идею; проводит финансовые расчет, включая анализ расходов, необходимых для достижения цели;  проводит оценку возможных финансовых рисков, связанных с осуществлением предпринимательской деятельности и планирования личных финансов; осуществляет эффективные коммуникации в коллективе и команде; 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3175" w:type="dxa"/>
            <w:vAlign w:val="top"/>
            <w:noWrap/>
          </w:tcPr>
          <w:p>
            <w:pPr>
              <w:ind w:left="0" w:right="0" w:firstLine="0"/>
              <w:spacing w:before="0" w:after="0" w:line="276" w:lineRule="auto"/>
            </w:pPr>
            <w:r>
              <w:rPr/>
              <w:t xml:space="preserve">Промежуточная аттестация
Устный опрос
Оценка результатов тестирования
Самооценка своего знания, осуществляемая обучающимися
Экспертное наблюдение за ходом выполнения учебных заданий
Оценка результатов устного опроса
Оценка результатов практической работы
Самооценка своего умения, осуществляемая обучающимися</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A7697"/>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0F15159B"/>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32B494C8"/>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3244D3BF"/>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E643C049"/>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A6E3069E"/>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576E4A92"/>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92F499BD"/>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994C342E"/>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54E1AA99"/>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54481EFA"/>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6661338E"/>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94513AF7"/>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A92188BA"/>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0ADC1396"/>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D99B7837"/>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AC8CA2A1"/>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