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24</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ОП.05 </w:t>
      </w:r>
      <w:r>
        <w:rPr/>
        <w:t xml:space="preserve">Проектная и исследовательская деятельность в профессиональной сфере»</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«Проектная и исследовательская деятельность в профессиональной сфере</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«Проектная и исследовательская деятельность в профессиональной сфере»: практическое освоение студентами навыков самостоятельной проектной и исследовательской работы, формирование основ культуры умственного труда, создание условий для развития исследовательской компетентности студентов посредством освоения методов научного познания и умений учебной исследовательской деятельности.. </w:t>
      </w:r>
    </w:p>
    <w:p>
      <w:pPr>
        <w:pStyle w:val="1e"/>
        <w:ind w:left="0" w:right="0" w:firstLine="709"/>
      </w:pPr>
      <w:r>
        <w:rPr/>
        <w:t xml:space="preserve">Дисциплина «Проектная и исследовательская деятельность в профессиональной сфере» включена в </w:t>
      </w:r>
      <w:r>
        <w:rPr/>
        <w:t xml:space="preserve"> </w:t>
      </w:r>
      <w:r>
        <w:rPr/>
        <w:t xml:space="preserve">обязательную часть цикла </w:t>
      </w:r>
      <w:r>
        <w:rPr/>
        <w:t xml:space="preserve">«</w:t>
      </w:r>
      <w:r>
        <w:rPr/>
        <w:t xml:space="preserve">общепрофессиональный цикл</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r>
      <w:tr>
        <w:trPr/>
        <w:tc>
          <w:tcPr>
            <w:tcW w:w="3175" w:type="dxa"/>
            <w:vAlign w:val="center"/>
            <w:noWrap/>
          </w:tcPr>
          <w:p>
            <w:pPr>
              <w:ind w:left="0" w:right="0" w:firstLine="0"/>
              <w:spacing w:before="0" w:after="0" w:line="276" w:lineRule="auto"/>
            </w:pPr>
            <w:r>
              <w:rPr/>
              <w:t xml:space="preserve">ОК 03</w:t>
            </w:r>
          </w:p>
        </w:tc>
        <w:tc>
          <w:tcPr>
            <w:tcW w:w="3175" w:type="dxa"/>
            <w:vAlign w:val="center"/>
            <w:noWrap/>
          </w:tcPr>
          <w:p>
            <w:pPr>
              <w:ind w:left="0" w:right="0" w:firstLine="0"/>
              <w:spacing w:before="0" w:after="0" w:line="276" w:lineRule="auto"/>
            </w:pPr>
            <w:r>
              <w:rPr/>
              <w:t xml:space="preserve">определять актуальность нормативно-правовой документации в профессиональной деятельности, определять и выстраивать траектории профессионального развития и самообразования, применять современную научную профессиональную терминологию, выявлять достоинства и недостатки коммерческой идеи, находить интересные проектные идеи, грамотно их формулировать и документировать, определять инвестиционную привлекательность коммерческих идей в рамках профессиональной деятельности, выявлять источники финансирования, определять источники достоверной правовой информации, оценивать жизнеспособность проектной идеи, составлять план проекта, презентовать идеи открытия собственного дела в профессиональной деятельности, составлять различные правовые документы</w:t>
            </w:r>
          </w:p>
        </w:tc>
        <w:tc>
          <w:tcPr>
            <w:tcW w:w="3175" w:type="dxa"/>
            <w:vAlign w:val="center"/>
            <w:noWrap/>
          </w:tcPr>
          <w:p>
            <w:pPr>
              <w:ind w:left="0" w:right="0" w:firstLine="0"/>
              <w:spacing w:before="0" w:after="0" w:line="276" w:lineRule="auto"/>
            </w:pPr>
            <w:r>
              <w:rPr/>
              <w:t xml:space="preserve">содержание актуальной нормативно-правовой документации, возможные траектории профессионального развития и самообразования, современная научная и профессиональная терминология, основные этапы разработки и реализации проекта, основы предпринимательской деятельности, правовой и финансовой грамотности, правила разработки презентации</w:t>
            </w:r>
          </w:p>
        </w:tc>
      </w:tr>
      <w:tr>
        <w:trPr/>
        <w:tc>
          <w:tcPr>
            <w:tcW w:w="3175" w:type="dxa"/>
            <w:vAlign w:val="center"/>
            <w:noWrap/>
          </w:tcPr>
          <w:p>
            <w:pPr>
              <w:ind w:left="0" w:right="0" w:firstLine="0"/>
              <w:spacing w:before="0" w:after="0" w:line="276" w:lineRule="auto"/>
            </w:pPr>
            <w:r>
              <w:rPr/>
              <w:t xml:space="preserve">ОК 04</w:t>
            </w:r>
          </w:p>
        </w:tc>
        <w:tc>
          <w:tcPr>
            <w:tcW w:w="3175" w:type="dxa"/>
            <w:vAlign w:val="center"/>
            <w:noWrap/>
          </w:tcPr>
          <w:p>
            <w:pPr>
              <w:ind w:left="0" w:right="0" w:firstLine="0"/>
              <w:spacing w:before="0" w:after="0" w:line="276" w:lineRule="auto"/>
            </w:pPr>
            <w:r>
              <w:rPr/>
              <w:t xml:space="preserve">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175" w:type="dxa"/>
            <w:vAlign w:val="center"/>
            <w:noWrap/>
          </w:tcPr>
          <w:p>
            <w:pPr>
              <w:ind w:left="0" w:right="0" w:firstLine="0"/>
              <w:spacing w:before="0" w:after="0" w:line="276" w:lineRule="auto"/>
            </w:pPr>
            <w:r>
              <w:rPr/>
              <w:t xml:space="preserve">психологические основы деятельности коллектива, психологические особенности личности</w:t>
            </w: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50</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48</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20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2</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экзамен</w:t>
            </w:r>
          </w:p>
        </w:tc>
        <w:tc>
          <w:tcPr>
            <w:tcW w:w="579" w:type="dxa"/>
            <w:vAlign w:val="center"/>
            <w:noWrap/>
          </w:tcPr>
          <w:p>
            <w:pPr>
              <w:jc w:val="center"/>
            </w:pPr>
            <w:r>
              <w:rPr>
                <w:lang w:val="en-US"/>
              </w:rPr>
              <w:t xml:space="preserve">12</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84</w:t>
            </w:r>
            <w:r>
              <w:rPr>
                <w:lang w:val="en-US"/>
                <w:b w:val="1"/>
                <w:bCs w:val="1"/>
              </w:rPr>
              <w:t xml:space="preserve"/>
            </w:r>
          </w:p>
        </w:tc>
        <w:tc>
          <w:tcPr>
            <w:tcW w:w="1162" w:type="dxa"/>
            <w:vAlign w:val="center"/>
            <w:noWrap/>
          </w:tcPr>
          <w:p>
            <w:pPr>
              <w:jc w:val="center"/>
            </w:pPr>
            <w:r>
              <w:rPr>
                <w:lang w:val="en-US"/>
                <w:b w:val="1"/>
                <w:bCs w:val="1"/>
              </w:rPr>
              <w:t xml:space="preserve">96</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Теоретические основы исследовательской деятельности (36ч)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34/32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Методологические и методические основы исследовательской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Наука и научное исследование Понятие о науке как специфической сфере человеческой деятельности, направленной на получение, обоснование и систематизацию объективных знаний о мире. Понятие о научном исследовании как особой форме процесса познания. Классификации научных исследований по целевому назначению (фундаментальные, прикладные, разработки, поисковые), по срокам выполнения (долгосрочные. краткосрочные, экспресс-исследования). Междисциплинарный характер современной науки. Взаимосвязь науки и практики.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Изучение методологии исследования. Понятие о методологии научного знания как системе принципов, способов организации и построения теоретической и практической деятельности. Компоненты методологического знания: общетеоретические законы и закономерности, более частные законы, принципы и методы исследования. Методологический аппарат исследования: объект, предмет, цель, гипотеза, задачи (общее представление).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Составление опорной схемы по теме «Методика исследования». Методика исследования как совокупность приемов и способов исследования, определяющих порядок их применения и интерпретацию полученных с их помощью результатов. Понятие о методах исследования как совокупности приемов и операций, направленных на изучение проблем. Система методов исследования. Характеристика исследовательских методов.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Определение методологического аппарата исследования. Логическая схема взаимосвязи методологического аппарата исследования.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Технология исследовательской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10/10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Составление алгоритма исследовательской работы: определение проблемы, предмета и объекта исследования; сбор и изучение информации по проблеме, уточнение основных понятий, определение темы исследования; формулировка цели, задач и гипотезы исследования, выбор соответствующих методов исследования; подготовка и проведение исследовательской части работы (в том числе эмпирической); обработка результатов исследования; интерпретация полученных данных; формулирование выводов; оформление работы; защита.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Составление опорной схемы по теме «Эксперимент как общенаучный метод исследования». Виды экспериментов. Основные этапы проведения эксперимента, содержание работы на каждом этапе.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Изучение технологий сбора и анализа информации по актуальной теме исследования.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Формулировка объекта, предмета, цели, гипотезы и составление предварительного плана исследования.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Сбор и первичная систематизация эмпирического материала.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Интерпретация, оформление, представление результатов и формулирование выводов исследования.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Учебно-исследовательская деятельность студентов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16/16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14/14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Описание особенности учебно-исследовательской деятельности Сравнительная характеристика научно-исследовательской и учебно-исследовательской деятельности. Особенности научного стиля изложения.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Составление опорной схемы на тему «Виды учебно-исследовательской деятельности студентов». Основные виды учебно-исследовательской деятельности студентов колледжа: курсовая работа и дипломный проект (работа), их сходство и различие. Содержательное разнообразие курсовых работ (реферативного, практического, опытно-экспериментального характера), дипломных проектов (работ) (опытно-практического, опытно-экспериментального, теоретического, проектного характера).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Описание требований к курсовой работе и дипломному проекту (работе). Структура.  Методологический аппарат. Теоретические и эмпирические методы исследования в курсовой работе и дипломного проекта (работы). Рубрикация как выражение композиционной структуры текста. Требования к оформлению структурных частей курсовой работы и дипломного проекта (работы).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Изучение процедуры защиты курсовой работы и дипломного проекта (работы). Возможные варианты защиты курсовой работы. Критерии оценки курсовой работы. Отзыв научного руководителя. Изучение процедуры защиты дипломного проекта (работы) как вид государственной итоговой аттестации выпускников. Цель защиты дипломного проекта (работы). Особенности процедуры предварительной защиты результатов дипломного проекта (работы). Допуск студента к защите дипломного проекта (работы): сроки сдачи работы, составление отзыва научного руководителя, рецензии. Подготовка дипломного проекта (работы) к защите: составление текста выступления студента; подготовка ответов на замечания и пожелания, высказанные в отзыве и рецензии; подготовка раздаточного материала, презентации. Процедура защиты дипломного проекта (работы). Критерии оценки дипломного проекта (работы).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Обоснование актуальности темы исследования.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Составление библиографического описания, составление тезисов и запись цитаты.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Составление программы опытно-экспериментальной работы при организации исследования по 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Наблюдение и анализ видеозаписи процедуры защиты дипломного проекта.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Написание научной статьи по теме курсовой работы.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Теоретические основы проектной деятельности (36ч)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18/18</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Проектная деятельность: понятие, основные характеристики проектной деятельности, классификация проектов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Изучение понятия проектной деятельности и педагогического проектирования в психолого-педагогической литературе. Различие проектной и исследовательской деятельности. Принципы проектной деятельности. Общие признаки, отличающие проект от других видов деятельности: 1) направленность на достижение конкретных целей с определенным началом и концом; 2) ограниченная протяженность по срокам, стоимости и ресурсам; 3) неповторимость и уникальность (в определенной степени); 4) комплексность — наличие большого числа факторов, прямо или косвенно влияющих на прогресс и результаты проекта; 5) правовое и организационное обеспечение — создание специфической организационной структуры на время реализации проекта. Проектная культура педагога.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19. Составление сравнительной таблицы «Виды педагогических проектов». По срокам реализации: краткосрочные (до одной недели); среднесрочные (от недели до месяца); долгосрочные (от одного месяца и больше); по доминирующей деятельности: исследовательские; творческие; практико-ориентированные; информационные; приключенческие; игровые; телекоммуникационные; по количеству участников проекта: индивидуальные; групповые. Учебные проекты. Досуговые проекты. Проекты в системе профессиональной подготовки. Социально-педагогические проекты. Проекты личностного становления. Сетевые проекты. Международные проекты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20. Виды педагогических проектов в практике дошкольного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Организация проектной деятельности: этапы и содержание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12/12</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12/12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21. Составление опорных тезисов по теме «Организация проектной деятельности». Этапы проектирования. Предпроектный этап. Выбор формата проекта. Логика организации педагогического проекта. Этап реализации проекта, рефлексивный этап, послепроектный этап. Технология разработки проектов. Педагогический проект как документ: основные требования к составлению. Принципы разработки педагогического проекта. Алгоритм педагогического проектирования. Сбор исходных данных и анализ существующего состояния объекта. Выявление потребности в изменениях (в проекте). Определение целей, задач и ожидаемых результатов. Моделирование объекта в соответствии с поставленными целями. Определение ресурсов и технологий реализации проекта. Результаты проектной деятельности. Оценка результатов проектной деятельности. Требования к написанию проекта. Критерии результативности проекта. Особенности написания курсовых работ и ВКР проектного характера.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Разработка проектов личностного и профессионального роста.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Разработка учебных проектов.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Разработка социально-педагогических и досуговых проектов.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Практика оценки результатов проектной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Организационно-деятельностная игра по педагогическому проектированию.</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Курсовой проект (работа) (20ч)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(экзамен)</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(84ч)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52/50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pStyle w:val="1e"/>
        <w:ind w:left="0" w:right="0" w:firstLine="708"/>
      </w:pPr>
      <w:r>
        <w:rPr/>
        <w:t xml:space="preserve"/>
      </w:r>
    </w:p>
    <w:p>
      <w:pPr>
        <w:pStyle w:val="2"/>
      </w:pPr>
      <w:r>
        <w:rPr/>
        <w:t xml:space="preserve">2.</w:t>
      </w:r>
      <w:r>
        <w:rPr>
          <w:lang w:val="en-US"/>
        </w:rPr>
        <w:t xml:space="preserve">3</w:t>
      </w:r>
      <w:r>
        <w:rPr/>
        <w:t xml:space="preserve">.</w:t>
      </w:r>
      <w:r>
        <w:rPr/>
        <w:t xml:space="preserve"> Курсовой проект (работа)</w:t>
      </w:r>
      <w:r>
        <w:rPr/>
        <w:t xml:space="preserve"> </w:t>
      </w:r>
    </w:p>
    <w:p>
      <w:pPr>
        <w:jc w:val="both"/>
        <w:suppressAutoHyphens/>
        <w:ind w:left="0" w:right="0" w:firstLine="708"/>
      </w:pPr>
      <w:r>
        <w:rPr>
          <w:rFonts w:ascii="Times New Roman" w:hAnsi="Times New Roman" w:eastAsia="Times New Roman" w:cs="Times New Roman"/>
          <w:sz w:val="24"/>
          <w:szCs w:val="24"/>
          <w:i w:val="1"/>
          <w:iCs w:val="1"/>
        </w:rPr>
        <w:t xml:space="preserve">Указывается, является ли выполнение курсового проекта (работы) по </w:t>
      </w:r>
      <w:r>
        <w:rPr>
          <w:rFonts w:ascii="Times New Roman" w:hAnsi="Times New Roman" w:eastAsia="Times New Roman" w:cs="Times New Roman"/>
          <w:sz w:val="24"/>
          <w:szCs w:val="24"/>
          <w:i w:val="1"/>
          <w:iCs w:val="1"/>
        </w:rPr>
        <w:t xml:space="preserve">модулю или дисциплине</w:t>
      </w:r>
      <w:r>
        <w:rPr>
          <w:rFonts w:ascii="Times New Roman" w:hAnsi="Times New Roman" w:eastAsia="Times New Roman" w:cs="Times New Roman"/>
          <w:sz w:val="24"/>
          <w:szCs w:val="24"/>
          <w:i w:val="1"/>
          <w:iCs w:val="1"/>
        </w:rPr>
        <w:t xml:space="preserve"> обязательным или 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дисциплине(-ам).</w:t>
      </w:r>
    </w:p>
    <w:p>
      <w:pPr>
        <w:jc w:val="both"/>
        <w:suppressAutoHyphens/>
        <w:ind w:left="0" w:right="0" w:firstLine="709"/>
      </w:pPr>
      <w:r>
        <w:rPr>
          <w:rFonts w:ascii="Times New Roman" w:hAnsi="Times New Roman" w:eastAsia="Times New Roman" w:cs="Times New Roman"/>
          <w:sz w:val="24"/>
          <w:szCs w:val="24"/>
        </w:rPr>
        <w:t xml:space="preserve">Тематика курсовых проектов (работ)</w:t>
      </w:r>
    </w:p>
    <w:p>
      <w:pPr>
        <w:ind w:left="0" w:right="0" w:firstLine="708"/>
      </w:pPr>
      <w:r>
        <w:rPr>
          <w:lang w:val="en-US"/>
        </w:rPr>
        <w:t xml:space="preserve">1.	А.М. Леушина и ее вклад в становление методов математического развития и обучения детей дошкольного возраста.
2.	Влияние музыки на формирование личности ребенка.
3.	Влияние подвижных игр на физическое развитие детей (или на формирование всестороннего развития ребенка).
4.	Воспитание гуманистических чувств у детей дошкольного возраста.
5.	Воспитание звуковой культуры речи в разных возрастных группах детского сада.
6.	Воспитание культурно-гигиенических навыков у детей младшего дошкольного возраста.
7.	Воспитание у дошкольников любви к природе.
8.	Воспитательно-образовательное значение труда в природе.
9.	Диагностика готовности детей к обучению в школе.
10.	Дидактические игры и их роль в закреплении математических представлений.
11.	Дидактические игры как средство развития познавательных способностей детей дошкольного возраста.
12.	Дидактические игры природоведческого содержания и их роль в формировании представлений о природе.
13.	Знакомство детей с книгами о природе — средство экологического образования детей.
14.	Значение аппликации как вида художественного творчества, развивающего цветовую чувствительность, воображение, чувство формы у детей младшего дошкольного возраста.
15.	Значение игр для преодоления эмоциональных трудностей дошкольников.
16.	Игра как средство воспитания творческой активности и познавательных потребностей детей дошкольного возраста.
17.	Игры и развлечения детей на воздухе.
18.	История создания матрешки и ее значение для сенсорного развития детей дошкольного возраста.
19.	Конструирование из разнообразных видов конструкторов и строительного материала в дошкольных образовательных учреждениях и использование построек в играх детей.
20.	Место и значение дидактических игр в развитии всех сторон речи детей.
21.	Музыка в повседневной жизни детского сада.
22.	Народное декоративно-прикладное искусство в развитии творчества старших дошкольников.
23.	Нетрадиционные формы обучения математическим представлениям.
24.	Педагогические идеи Марии Монтессори в практике современного воспитания.
25.	Возможности и пути использования дидактического материала «Логические блоки Дьенеша» в познавательном развитии детей дошкольного возраста.
26.	Самостоятельная изобразительная деятельность как средство эстетического воспитания дошкольников.
27.	Использование разнообразных конструкторов при организации строительных игр детей подготовительной группы.
28.	Экологические игры как средство формирования представлений о живой природе у детей старшего дошкольного возраста.
29.	Особенности развития самостоятельности у детей дошкольного возраста.
30.	Уголок природы – средство экологического воспитания и образования дошкольников.
31.	Патриотическое воспитание дошкольников в процессе театрализованных игр.
32.	Отражение явлений общественной жизни в изобразительной деятельности дошкольников.
33.	Патриотическое воспитание детей старшего дошкольного возраста.
34.	Утренняя гимнастика в дошкольных учреждениях, организация и методика проведения.
35.	Организации проведения подвижной игры для детей младшего дошкольного возраста.
36.	Физическое воспитание и развитие детей среднего дошкольного возраста.
37.	Влияние семьи на формирование личности ребенка дошкольного возраста.
38.	Развитие познавательных процессов в дошкольном возрасте.
39.	Развития музыкально-ритмических способностей детей старшего дошкольного возраста.
40.	Психологическая готовность ребенка к обучению в школе.
41.	Развитие образа «Я» у детей дошкольного возраста.
42.	Развитие у детей дошкольного возраста навыков эффективного общения.
43.	Роль наглядности в обучении детей математическим представлениям.
44.	Роль семьи и дошкольных учреждений в формировании осанки у детей.
45.	Роль спортивных игр в формировании личностных качеств ребенка и его физическом развитии.
46.	Роль физкультурных праздников в приобщении дошкольников к занятиям физической культурой.
47.	Русские народные подвижные игры и их использование в работе дошкольного учреждения. (Детские подвижные игры России и ближнего зарубежья и их использование в педагогическом процессе ДОУ. Детские подвижные игры народов мира и их использование в работе ДОУ.)
48.	Русское народное творчество в воспитании детей.
49.	Ручной труд в детском саду и его роль в воспитании самостоятельности детей.
50.	Сенсорное развитие детей дошкольного возраста.
51.	Трудовые поручения как одна из форм приобщения детей к труду.
52.	Утренняя гимнастика — одна из форм физкультурно-оздоровительной работы в дошкольном учреждении.
53.	Фольклор — средство воспитания у детей чувства любви к Родине.
54.	Кукла и ее значение в развитии игровой деятельности младших дошкольников.
55.	Театрализованные игры как средство ознакомления детей с основами безопасного поведения.
56.	Труд в природе как способ нравственного воспитания детей.
57.	Развитие личности дошкольника в процессе трудовой деятельности.
58.	Формирование технических умений в объемной аппликации.
59.	Современные формы взаимодействия дошкольного образовательного учреждения с родителями.
60.	Формирование представлений о форме и цвете через дидактические игры у детей дошкольного возраста.</w:t>
      </w:r>
      <w:r>
        <w:rPr>
          <w:lang w:val="en-US"/>
        </w:rPr>
        <w:t xml:space="preserve"/>
      </w:r>
    </w:p>
    <w:p>
      <w:pPr>
        <w:rPr/>
      </w:pPr>
    </w:p>
    <w:p>
      <w:pPr>
        <w:jc w:val="both"/>
        <w:ind w:left="0" w:right="0" w:firstLine="709"/>
      </w:pPr>
      <w:r>
        <w:rPr/>
        <w:t xml:space="preserve"/>
      </w:r>
      <w:r>
        <w:rPr/>
        <w:t xml:space="preserve"/>
      </w:r>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Социально-гуманитарных дисциплин, общепрофессиональных дисциплин</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Афанасьев, В. В. Основы учебно-исследовательской деятельности : учебник для среднего профессионального образования / В. В. Афанасьев, О. В. Грибкова, Л. И. Уколова. — 2-е изд., перераб. и доп. — Москва : Издательство Юрайт, 2023. — 163 с. — (Профессиональное образование). — ISBN 978-5-534-17639-1. — Текст : электронный // Образовательная платформа Юрайт [сайт]. — URL: https://urait.ru/bcode/533469</w:t>
      </w:r>
    </w:p>
    <w:p>
      <w:pPr>
        <w:ind w:left="0" w:right="0" w:firstLine="720"/>
      </w:pPr>
      <w:r>
        <w:rPr/>
        <w:t xml:space="preserve">	</w:t>
      </w:r>
      <w:r>
        <w:rPr>
          <w:rFonts w:ascii="Times New Roman" w:hAnsi="Times New Roman" w:eastAsia="Times New Roman" w:cs="Times New Roman"/>
          <w:sz w:val="24"/>
          <w:szCs w:val="24"/>
        </w:rPr>
        <w:t xml:space="preserve">2. Байбородова, Л. В. Основы учебно-исследовательской деятельности : учебное пособие для среднего профессионального образования / Л. В. Байбородова, А. П. Чернявская. — 2-е изд., испр. и доп. — Москва : Издательство Юрайт, 2023. — 221 с. — (Профессиональное образование). — ISBN 978-5-534-10316-8. — Текст : электронный // Образовательная платформа Юрайт [сайт]. — URL: https://urait.ru/bcode/517736</w:t>
      </w:r>
    </w:p>
    <w:p>
      <w:pPr>
        <w:ind w:left="0" w:right="0" w:firstLine="720"/>
      </w:pPr>
      <w:r>
        <w:rPr/>
        <w:t xml:space="preserve">	</w:t>
      </w:r>
      <w:r>
        <w:rPr>
          <w:rFonts w:ascii="Times New Roman" w:hAnsi="Times New Roman" w:eastAsia="Times New Roman" w:cs="Times New Roman"/>
          <w:sz w:val="24"/>
          <w:szCs w:val="24"/>
        </w:rPr>
        <w:t xml:space="preserve">3. Байкова, Л. А. Основы учебно-исследовательской деятельности : учебное пособие для среднего профессионального образования / Л. А. Байкова. — 2-е изд., испр. и доп. — Москва : Издательство Юрайт, 2023. — 122 с. — (Профессиональное образование). — ISBN 978-5-534-12527-6. — Текст : электронный // Образовательная платформа Юрайт [сайт]. — URL: https://urait.ru/bcode/518041</w:t>
      </w:r>
    </w:p>
    <w:p>
      <w:pPr>
        <w:ind w:left="0" w:right="0" w:firstLine="720"/>
      </w:pPr>
      <w:r>
        <w:rPr/>
        <w:t xml:space="preserve">	</w:t>
      </w:r>
      <w:r>
        <w:rPr>
          <w:rFonts w:ascii="Times New Roman" w:hAnsi="Times New Roman" w:eastAsia="Times New Roman" w:cs="Times New Roman"/>
          <w:sz w:val="24"/>
          <w:szCs w:val="24"/>
        </w:rPr>
        <w:t xml:space="preserve">4. Белова, Ю. В. Основы педагогического мастерства и развития профессиональной компетентности преподавателя : учебно-методическое пособие / Ю. В. Белова. — Саратов : Вузовское образование, 2018. — 123 c. — ISBN 978-5-4487-0139-9. — Текст : электронный // Электронный ресурс цифровой образовательной среды СПО PROFобразование : [сайт]. — URL: https://profspo.ru/books/72352</w:t>
      </w:r>
    </w:p>
    <w:p>
      <w:pPr>
        <w:ind w:left="0" w:right="0" w:firstLine="720"/>
      </w:pPr>
      <w:r>
        <w:rPr/>
        <w:t xml:space="preserve">	</w:t>
      </w:r>
      <w:r>
        <w:rPr>
          <w:rFonts w:ascii="Times New Roman" w:hAnsi="Times New Roman" w:eastAsia="Times New Roman" w:cs="Times New Roman"/>
          <w:sz w:val="24"/>
          <w:szCs w:val="24"/>
        </w:rPr>
        <w:t xml:space="preserve">5. Коржуев, А. В. Основы учебно-исследовательской деятельности в педагогике : учебное пособие для среднего профессионального образования / А. В. Коржуев, Н. Н. Антонова. — Москва : Издательство Юрайт, 2023. — 177 с. — (Профессиональное образование). — ISBN 978-5-534-11374-7. — Текст : электронный // Образовательная платформа Юрайт [сайт]. — URL: https://urait.ru/bcode/517699</w:t>
      </w:r>
    </w:p>
    <w:p>
      <w:pPr>
        <w:ind w:left="0" w:right="0" w:firstLine="720"/>
      </w:pPr>
      <w:r>
        <w:rPr/>
        <w:t xml:space="preserve">	</w:t>
      </w:r>
      <w:r>
        <w:rPr>
          <w:rFonts w:ascii="Times New Roman" w:hAnsi="Times New Roman" w:eastAsia="Times New Roman" w:cs="Times New Roman"/>
          <w:sz w:val="24"/>
          <w:szCs w:val="24"/>
        </w:rPr>
        <w:t xml:space="preserve">6. Куклина, Е. Н. Основы учебно-исследовательской деятельности : учебное пособие для среднего профессионального образования / Е. Н. Куклина, М. А. Мазниченко, И. А. Мушкина. — 2-е изд., испр. и доп. — Москва : Издательство Юрайт, 2024. — 235 с. — (Профессиональное образование). — ISBN 978-5-534-08818-2. — Текст : электронный // Образовательная платформа Юрайт [сайт]. — URL: https://urait.ru/bcode/538555</w:t>
      </w:r>
    </w:p>
    <w:p>
      <w:pPr>
        <w:ind w:left="0" w:right="0" w:firstLine="720"/>
      </w:pPr>
      <w:r>
        <w:rPr/>
        <w:t xml:space="preserve">	</w:t>
      </w:r>
      <w:r>
        <w:rPr>
          <w:rFonts w:ascii="Times New Roman" w:hAnsi="Times New Roman" w:eastAsia="Times New Roman" w:cs="Times New Roman"/>
          <w:sz w:val="24"/>
          <w:szCs w:val="24"/>
        </w:rPr>
        <w:t xml:space="preserve">7. Образцов, П. И. Основы учебно-исследовательской деятельности : учебное пособие для среднего профессионального образования / П. И. Образцов. — 2-е изд., испр. и доп. — Москва : Издательство Юрайт, 2023. — 156 с. — (Профессиональное образование). — ISBN 978-5-534-10315-1. — Текст : электронный // Образовательная платформа Юрайт [сайт]. — URL: https://urait.ru/bcode/517737</w:t>
      </w:r>
    </w:p>
    <w:p>
      <w:pPr>
        <w:rPr>
          <w:rStyle w:val="af4"/>
        </w:rPr>
      </w:pPr>
    </w:p>
    <w:p>
      <w:pPr>
        <w:ind w:left="0" w:right="0" w:firstLine="720"/>
      </w:pPr>
      <w:r>
        <w:rPr/>
        <w:t xml:space="preserve">	</w:t>
      </w:r>
      <w:r>
        <w:rPr>
          <w:rFonts w:ascii="Times New Roman" w:hAnsi="Times New Roman" w:eastAsia="Times New Roman" w:cs="Times New Roman"/>
          <w:sz w:val="24"/>
          <w:szCs w:val="24"/>
        </w:rPr>
        <w:t xml:space="preserve">1. Афанасьев, В. В. Основы учебно-исследовательской деятельности : учебник для среднего профессионального образования / В. В. Афанасьев, О. В. Грибкова, Л. И. Уколова. — 2-е изд., перераб. и доп. — Москва : Издательство Юрайт, 2023. — 163 с. — (Профессиональное образование). — ISBN 978-5-534-17639-1. — Текст : электронный // Образовательная платформа Юрайт [сайт]. — URL: https://urait.ru/bcode/533469</w:t>
      </w:r>
    </w:p>
    <w:p>
      <w:pPr>
        <w:ind w:left="0" w:right="0" w:firstLine="720"/>
      </w:pPr>
      <w:r>
        <w:rPr/>
        <w:t xml:space="preserve">	</w:t>
      </w:r>
      <w:r>
        <w:rPr>
          <w:rFonts w:ascii="Times New Roman" w:hAnsi="Times New Roman" w:eastAsia="Times New Roman" w:cs="Times New Roman"/>
          <w:sz w:val="24"/>
          <w:szCs w:val="24"/>
        </w:rPr>
        <w:t xml:space="preserve">2. Байбородова, Л. В. Основы учебно-исследовательской деятельности : учебное пособие для среднего профессионального образования / Л. В. Байбородова, А. П. Чернявская. — 2-е изд., испр. и доп. — Москва : Издательство Юрайт, 2023. — 221 с. — (Профессиональное образование). — ISBN 978-5-534-10316-8. — Текст : электронный // Образовательная платформа Юрайт [сайт]. — URL: https://urait.ru/bcode/517736</w:t>
      </w:r>
    </w:p>
    <w:p>
      <w:pPr>
        <w:ind w:left="0" w:right="0" w:firstLine="720"/>
      </w:pPr>
      <w:r>
        <w:rPr/>
        <w:t xml:space="preserve">	</w:t>
      </w:r>
      <w:r>
        <w:rPr>
          <w:rFonts w:ascii="Times New Roman" w:hAnsi="Times New Roman" w:eastAsia="Times New Roman" w:cs="Times New Roman"/>
          <w:sz w:val="24"/>
          <w:szCs w:val="24"/>
        </w:rPr>
        <w:t xml:space="preserve">3. Байкова, Л. А. Основы учебно-исследовательской деятельности : учебное пособие для среднего профессионального образования / Л. А. Байкова. — 2-е изд., испр. и доп. — Москва : Издательство Юрайт, 2023. — 122 с. — (Профессиональное образование). — ISBN 978-5-534-12527-6. — Текст : электронный // Образовательная платформа Юрайт [сайт]. — URL: https://urait.ru/bcode/518041</w:t>
      </w:r>
    </w:p>
    <w:p>
      <w:pPr>
        <w:ind w:left="0" w:right="0" w:firstLine="720"/>
      </w:pPr>
      <w:r>
        <w:rPr/>
        <w:t xml:space="preserve">	</w:t>
      </w:r>
      <w:r>
        <w:rPr>
          <w:rFonts w:ascii="Times New Roman" w:hAnsi="Times New Roman" w:eastAsia="Times New Roman" w:cs="Times New Roman"/>
          <w:sz w:val="24"/>
          <w:szCs w:val="24"/>
        </w:rPr>
        <w:t xml:space="preserve">4. Белова, Ю. В. Основы педагогического мастерства и развития профессиональной компетентности преподавателя : учебно-методическое пособие / Ю. В. Белова. — Саратов : Вузовское образование, 2018. — 123 c. — ISBN 978-5-4487-0139-9. — Текст : электронный // Электронный ресурс цифровой образовательной среды СПО PROFобразование : [сайт]. — URL: https://profspo.ru/books/72352</w:t>
      </w:r>
    </w:p>
    <w:p>
      <w:pPr>
        <w:ind w:left="0" w:right="0" w:firstLine="720"/>
      </w:pPr>
      <w:r>
        <w:rPr/>
        <w:t xml:space="preserve">	</w:t>
      </w:r>
      <w:r>
        <w:rPr>
          <w:rFonts w:ascii="Times New Roman" w:hAnsi="Times New Roman" w:eastAsia="Times New Roman" w:cs="Times New Roman"/>
          <w:sz w:val="24"/>
          <w:szCs w:val="24"/>
        </w:rPr>
        <w:t xml:space="preserve">5. Коржуев, А. В. Основы учебно-исследовательской деятельности в педагогике : учебное пособие для среднего профессионального образования / А. В. Коржуев, Н. Н. Антонова. — Москва : Издательство Юрайт, 2023. — 177 с. — (Профессиональное образование). — ISBN 978-5-534-11374-7. — Текст : электронный // Образовательная платформа Юрайт [сайт]. — URL: https://urait.ru/bcode/517699</w:t>
      </w:r>
    </w:p>
    <w:p>
      <w:pPr>
        <w:ind w:left="0" w:right="0" w:firstLine="720"/>
      </w:pPr>
      <w:r>
        <w:rPr/>
        <w:t xml:space="preserve">	</w:t>
      </w:r>
      <w:r>
        <w:rPr>
          <w:rFonts w:ascii="Times New Roman" w:hAnsi="Times New Roman" w:eastAsia="Times New Roman" w:cs="Times New Roman"/>
          <w:sz w:val="24"/>
          <w:szCs w:val="24"/>
        </w:rPr>
        <w:t xml:space="preserve">6. Куклина, Е. Н. Основы учебно-исследовательской деятельности : учебное пособие для среднего профессионального образования / Е. Н. Куклина, М. А. Мазниченко, И. А. Мушкина. — 2-е изд., испр. и доп. — Москва : Издательство Юрайт, 2024. — 235 с. — (Профессиональное образование). — ISBN 978-5-534-08818-2. — Текст : электронный // Образовательная платформа Юрайт [сайт]. — URL: https://urait.ru/bcode/538555</w:t>
      </w:r>
    </w:p>
    <w:p>
      <w:pPr>
        <w:ind w:left="0" w:right="0" w:firstLine="720"/>
      </w:pPr>
      <w:r>
        <w:rPr/>
        <w:t xml:space="preserve">	</w:t>
      </w:r>
      <w:r>
        <w:rPr>
          <w:rFonts w:ascii="Times New Roman" w:hAnsi="Times New Roman" w:eastAsia="Times New Roman" w:cs="Times New Roman"/>
          <w:sz w:val="24"/>
          <w:szCs w:val="24"/>
        </w:rPr>
        <w:t xml:space="preserve">7. Образцов, П. И. Основы учебно-исследовательской деятельности : учебное пособие для среднего профессионального образования / П. И. Образцов. — 2-е изд., испр. и доп. — Москва : Издательство Юрайт, 2023. — 156 с. — (Профессиональное образование). — ISBN 978-5-534-10315-1. — Текст : электронный // Образовательная платформа Юрайт [сайт]. — URL: https://urait.ru/bcode/517737</w:t>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содержание актуальной нормативно-правовой документации, возможные траектории профессионального развития и самообразования, современная научная и профессиональная терминология, основные этапы разработки и реализации проекта, основы предпринимательской деятельности, правовой и финансовой грамотности, правила разработки презентации, психологические основы деятельности коллектива, психологические особенности личности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определять актуальность нормативно-правовой документации в профессиональной деятельности, определять и выстраивать траектории профессионального развития и самообразования, применять современную научную профессиональную терминологию, выявлять достоинства и недостатки коммерческой идеи, находить интересные проектные идеи, грамотно их формулировать и документировать, определять инвестиционную привлекательность коммерческих идей в рамках профессиональной деятельности, выявлять источники финансирования, определять источники достоверной правовой информации, оценивать жизнеспособность проектной идеи, составлять план проекта, презентовать идеи открытия собственного дела в профессиональной деятельности, составлять различные правовые документы, организовывать работу коллектива и команды, взаимодействовать с коллегами, руководством, клиентами в ходе профессиональной деятельности
</w:t>
            </w:r>
          </w:p>
        </w:tc>
        <w:tc>
          <w:tcPr>
            <w:tcW w:w="3175" w:type="dxa"/>
            <w:vAlign w:val="top"/>
            <w:noWrap/>
          </w:tcPr>
          <w:p>
            <w:pPr>
              <w:ind w:left="0" w:right="0" w:firstLine="0"/>
              <w:spacing w:before="0" w:after="0" w:line="276" w:lineRule="auto"/>
            </w:pPr>
            <w:r>
              <w:rPr/>
              <w:t xml:space="preserve">перечисляет и характеризует этапы выполнения учебно-исследовательской работы в соответствии с логикой исследования; перечисляет способы обоснования актуальности темы исследования; знает сущность понятия «методы психолого-педагогического исследования»; правильно перечисляет компоненты методологического аппарата исследования, принципы их формулирования, верно указывает его логическую связь с планом учебно-исследовательской работы; дает характеристику осиновым видам исследовательской деятельности студентов; перечисляет способы фиксации материала в соответствии с правилами и требованиями при работе с литературой по проблеме исследования;
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 называет правила изложения результатов по проблеме исследования; знает основные формы представления данных и их оформление в соответствии с требованиями; описывает требования к оформлению и представлению результатов работы; характеризует порядок и процедуру защиты дипломного проекта (работы) в соответствии с требованиями.  обосновывает сущность педагогического проектирования. перечисляет этапы и технологию педагогического проекта
проводит анализ исследовательских работы с точки зрения логики исследования в зависимости от вида работы; обосновывает актуальность темы в соответствии принятыми способами и принципами обоснования актуальности; определяет методы для организации исследования в соответствии с темой и видом учебно-исследовательской работы;  правильно формулирует методологический аппарат исследования в соответствии с темой учебно-исследовательской работы; правильно разрабатывает план учебно-исследовательской работы в соответствии с методологическим аппаратом и видом учебно-исследовательской работы; точно определяет понятийно-категориальный аппарат исследования в соответствии с темой учебно-исследовательской работы;
правильно использует способы фиксации материал при работе с литературой по проблеме исследования в соответствии с требованиями, нормами, правилами; составлять программу опытно-экспериментальной работы при организации исследования по теме в соответствии с принятой структурой; делает выводы на основе качественной и количественной обработки материалов исследования; оформляет и представляет полученные в ходе исследования данные в соответствии с требованиями; оформляет свою работу в соответствии с требованиями; демонстрирует приемы защиты результатов исследования в соответствии с принятыми требованиями. демонстрирует умение определять этапы педагогического проекта в соответствии с поставленными целями и задачами. демонстрирует умение оформлять педагогический проект в соответствии с заданной структурой</w:t>
            </w:r>
          </w:p>
        </w:tc>
        <w:tc>
          <w:tcPr>
            <w:tcW w:w="3175" w:type="dxa"/>
            <w:vAlign w:val="top"/>
            <w:noWrap/>
          </w:tcPr>
          <w:p>
            <w:pPr>
              <w:ind w:left="0" w:right="0" w:firstLine="0"/>
              <w:spacing w:before="0" w:after="0" w:line="276" w:lineRule="auto"/>
            </w:pPr>
            <w:r>
              <w:rPr/>
              <w:t xml:space="preserve">оценка выполнения практических заданий (работ)
анализ и оценка решения тестовых заданий
анализ и оценка решения устного опроса
анализ и оценка решения письменного опроса</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8912B"/>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7266FCBE"/>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6C4DAE00"/>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B7661988"/>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AF3E4249"/>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438D9E90"/>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2A528A20"/>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474C68EA"/>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18A5C33C"/>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C3AB20D8"/>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390341F8"/>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D4665A1A"/>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F7C14635"/>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4C844E56"/>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F8E6EC0C"/>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B3F0EB48"/>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3B597BDC"/>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